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  <w:t>23.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新型墙体材料产品确认事中事后监管细则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为促进新型墙体材料健康发展，根据《安徽省发展新型墙体材料条例》、《安徽省新型墙体材料确认办法》和《安徽省政府权力运行监督管理办法》，制定本监管细则。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kern w:val="0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/>
          <w:color w:val="auto"/>
        </w:rPr>
        <w:t>第</w:t>
      </w:r>
      <w:r>
        <w:rPr>
          <w:rFonts w:hint="eastAsia" w:ascii="仿宋" w:hAnsi="仿宋" w:eastAsia="仿宋"/>
          <w:color w:val="auto"/>
          <w:lang w:val="en-US" w:eastAsia="zh-CN"/>
        </w:rPr>
        <w:t>23</w:t>
      </w:r>
      <w:r>
        <w:rPr>
          <w:rFonts w:hint="eastAsia" w:ascii="仿宋" w:hAnsi="仿宋" w:eastAsia="仿宋"/>
          <w:color w:val="auto"/>
        </w:rPr>
        <w:t>项。权力类别：行政确认，项目名称：</w:t>
      </w:r>
      <w:r>
        <w:rPr>
          <w:rFonts w:hint="eastAsia" w:ascii="仿宋" w:hAnsi="仿宋" w:eastAsia="仿宋"/>
          <w:bCs/>
          <w:color w:val="auto"/>
        </w:rPr>
        <w:t>新型墙体材料产品确认</w:t>
      </w:r>
      <w:r>
        <w:rPr>
          <w:rFonts w:hint="eastAsia" w:ascii="仿宋" w:hAnsi="仿宋" w:eastAsia="仿宋"/>
          <w:color w:val="auto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一、监管事项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根据法律法规、产业政策要求，对我</w:t>
      </w:r>
      <w:r>
        <w:rPr>
          <w:rFonts w:hint="eastAsia" w:ascii="仿宋" w:hAnsi="仿宋" w:eastAsia="仿宋"/>
          <w:color w:val="auto"/>
          <w:lang w:eastAsia="zh-CN"/>
        </w:rPr>
        <w:t>县</w:t>
      </w:r>
      <w:r>
        <w:rPr>
          <w:rFonts w:hint="eastAsia" w:ascii="仿宋" w:hAnsi="仿宋" w:eastAsia="仿宋"/>
          <w:color w:val="auto"/>
        </w:rPr>
        <w:t>新型墙体材料企业产品的生产规模及装备、工艺技术和产品质量等进行确认初审、管理。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二、监管措施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 xml:space="preserve">（一）流程监管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1.规范受理工作。符合受理条件的，依法受理；不符合受理条件的，告知理由；需要补正材料的，一次性告知。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2.强化廉政风险防控。主要对受理、材料审查、现场复核可等廉政风险点进行管理，强化权力运行制约监督。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3.及时转报。初审通过的，及时转报省经信厅确认。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（二）审查核验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1.材料审查。由</w:t>
      </w:r>
      <w:r>
        <w:rPr>
          <w:rFonts w:hint="eastAsia" w:ascii="仿宋" w:hAnsi="仿宋" w:eastAsia="仿宋"/>
          <w:color w:val="auto"/>
          <w:lang w:eastAsia="zh-CN"/>
        </w:rPr>
        <w:t>建管股</w:t>
      </w:r>
      <w:r>
        <w:rPr>
          <w:rFonts w:hint="eastAsia" w:ascii="仿宋" w:hAnsi="仿宋" w:eastAsia="仿宋"/>
          <w:color w:val="auto"/>
        </w:rPr>
        <w:t>对申报材料是否合规、有效、齐全进行初审。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2.现场核验。由</w:t>
      </w:r>
      <w:r>
        <w:rPr>
          <w:rFonts w:hint="eastAsia" w:ascii="仿宋" w:hAnsi="仿宋" w:eastAsia="仿宋"/>
          <w:color w:val="auto"/>
          <w:lang w:eastAsia="zh-CN"/>
        </w:rPr>
        <w:t>建管股</w:t>
      </w:r>
      <w:r>
        <w:rPr>
          <w:rFonts w:hint="eastAsia" w:ascii="仿宋" w:hAnsi="仿宋" w:eastAsia="仿宋"/>
          <w:color w:val="auto"/>
        </w:rPr>
        <w:t>依据申报条件对申报企业进行现场核验，核查人员须2人以上。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（三）监督检查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开展事中、事后监管。对备案材料使用情况进行抽查、抽检，检查结果公开，建立健全事前、事中监管与事后监管协调一致的监管机制。发现不符合要求的，可以向</w:t>
      </w:r>
      <w:r>
        <w:rPr>
          <w:rFonts w:hint="eastAsia" w:ascii="仿宋" w:hAnsi="仿宋" w:eastAsia="仿宋"/>
          <w:color w:val="auto"/>
          <w:lang w:eastAsia="zh-CN"/>
        </w:rPr>
        <w:t>县住建局建管股</w:t>
      </w:r>
      <w:r>
        <w:rPr>
          <w:rFonts w:hint="eastAsia" w:ascii="仿宋" w:hAnsi="仿宋" w:eastAsia="仿宋"/>
          <w:color w:val="auto"/>
        </w:rPr>
        <w:t>举报（举报投诉电话：</w:t>
      </w:r>
      <w:r>
        <w:rPr>
          <w:rFonts w:hint="eastAsia" w:ascii="仿宋" w:hAnsi="仿宋" w:eastAsia="仿宋"/>
          <w:color w:val="auto"/>
          <w:lang w:val="en-US" w:eastAsia="zh-CN"/>
        </w:rPr>
        <w:t>4510723</w:t>
      </w:r>
      <w:r>
        <w:rPr>
          <w:rFonts w:hint="eastAsia" w:ascii="仿宋" w:hAnsi="仿宋" w:eastAsia="仿宋"/>
          <w:color w:val="auto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（四）政务服务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1.清理法规规章政策。及时清理、修订、完善地方性法规、政府规章以及有关规范性文件。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2.加强对申请确认企业的指导。办理机构和办理人员对申请企业的咨询耐心答复，对申报材料和办理程序耐心指导。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三、责任追究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（一）加强监督。</w:t>
      </w:r>
      <w:r>
        <w:rPr>
          <w:rFonts w:hint="eastAsia" w:ascii="仿宋" w:hAnsi="仿宋" w:eastAsia="仿宋"/>
          <w:color w:val="auto"/>
          <w:lang w:eastAsia="zh-CN"/>
        </w:rPr>
        <w:t>祁门县住建局建管股</w:t>
      </w:r>
      <w:r>
        <w:rPr>
          <w:rFonts w:hint="eastAsia" w:ascii="仿宋" w:hAnsi="仿宋" w:eastAsia="仿宋"/>
          <w:color w:val="auto"/>
        </w:rPr>
        <w:t>对新型墙材确认事项进行监督，对是否履行监管责任进行监督问责。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（二）加强人员监督。重点监督有关监管人员是否履行职责，对不作为、乱作为情况，按规定进行监督问责。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（三）健全责任追究机制。实行过错责任追究，根据过错责任的大小实施相应的追究方式。国家工作人员不履行法定职责、超越或者滥用法定职权的，依法给予行政处分，构成犯罪的，依法追究刑事责任。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四、保障措施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（一）加强事中事后监管，彻底解决“重审批轻监管”的问题。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（二）建立权责清单动态管理机制。根据有关法律、法规、规章的颁布、修改、废止、解释和上级政府取消调整权力事项等情况，适时按规定调整权责清单。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（三）加强组织协调。强化组织领导，健全协调机制，落实监管措施，确保事中事后监管工作有序推进。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（四）强化人员培训。加强对相关工作人员有关法律、法规、标准和专业知识与执法能力培训，提高办事人员素质。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五、主要依据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  <w:lang w:eastAsia="zh-CN"/>
        </w:rPr>
      </w:pPr>
      <w:r>
        <w:rPr>
          <w:rFonts w:hint="eastAsia" w:ascii="仿宋" w:hAnsi="仿宋" w:eastAsia="仿宋"/>
          <w:color w:val="auto"/>
        </w:rPr>
        <w:t>《国务院办公厅关于进一步推进墙体材料革新和推广节能建筑的通知》（国办发〔2005〕33号）</w:t>
      </w:r>
      <w:r>
        <w:rPr>
          <w:rFonts w:hint="eastAsia" w:ascii="仿宋" w:hAnsi="仿宋" w:eastAsia="仿宋"/>
          <w:color w:val="auto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《安徽省发展新型墙体材料条例》（安徽省人大常委会公告第二十四号）第十九条。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588" w:bottom="1985" w:left="1588" w:header="851" w:footer="992" w:gutter="0"/>
      <w:pgNumType w:fmt="numberInDash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 w:hAnsi="宋体" w:eastAsia="宋体"/>
        <w:sz w:val="24"/>
        <w:szCs w:val="24"/>
      </w:rPr>
    </w:pPr>
    <w:r>
      <w:rPr>
        <w:rFonts w:ascii="宋体" w:hAnsi="宋体" w:eastAsia="宋体"/>
        <w:sz w:val="24"/>
        <w:szCs w:val="24"/>
      </w:rPr>
      <w:fldChar w:fldCharType="begin"/>
    </w:r>
    <w:r>
      <w:rPr>
        <w:rStyle w:val="6"/>
        <w:rFonts w:ascii="宋体" w:hAnsi="宋体" w:eastAsia="宋体"/>
        <w:sz w:val="24"/>
        <w:szCs w:val="24"/>
      </w:rPr>
      <w:instrText xml:space="preserve">PAGE  </w:instrText>
    </w:r>
    <w:r>
      <w:rPr>
        <w:rFonts w:ascii="宋体" w:hAnsi="宋体" w:eastAsia="宋体"/>
        <w:sz w:val="24"/>
        <w:szCs w:val="24"/>
      </w:rPr>
      <w:fldChar w:fldCharType="separate"/>
    </w:r>
    <w:r>
      <w:rPr>
        <w:rStyle w:val="6"/>
        <w:rFonts w:ascii="宋体" w:hAnsi="宋体" w:eastAsia="宋体"/>
        <w:sz w:val="24"/>
        <w:szCs w:val="24"/>
      </w:rPr>
      <w:t>- 1 -</w:t>
    </w:r>
    <w:r>
      <w:rPr>
        <w:rFonts w:ascii="宋体" w:hAnsi="宋体" w:eastAsia="宋体"/>
        <w:sz w:val="24"/>
        <w:szCs w:val="24"/>
      </w:rPr>
      <w:fldChar w:fldCharType="end"/>
    </w:r>
  </w:p>
  <w:p>
    <w:pPr>
      <w:pStyle w:val="2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522A1845"/>
    <w:rsid w:val="2CE9283B"/>
    <w:rsid w:val="3DF633C5"/>
    <w:rsid w:val="45E71F71"/>
    <w:rsid w:val="522A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2024-01-18T07:00:00Z</dcterms:created>
  <dc:creator>沉默的小布芬</dc:creator>
  <cp:lastModifiedBy>沉默的小布芬</cp:lastModifiedBy>
  <dcterms:modified xsi:type="dcterms:W3CDTF">2024-01-18T07:17:50Z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28729DE20CBB4628B353C1AAC6B4EB29_11</vt:lpwstr>
  </property>
</Properties>
</file>